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D1" w:rsidRPr="003550A5" w:rsidRDefault="00246468" w:rsidP="006A4BD1">
      <w:pPr>
        <w:kinsoku w:val="0"/>
        <w:overflowPunct w:val="0"/>
        <w:spacing w:before="19"/>
        <w:ind w:left="104"/>
        <w:jc w:val="center"/>
        <w:rPr>
          <w:rFonts w:cs="Calibri"/>
          <w:sz w:val="40"/>
          <w:szCs w:val="40"/>
        </w:rPr>
      </w:pPr>
      <w:r>
        <w:rPr>
          <w:rFonts w:asciiTheme="minorHAnsi" w:hAnsiTheme="minorHAnsi"/>
          <w:b/>
          <w:noProof/>
          <w:sz w:val="40"/>
          <w:szCs w:val="40"/>
          <w:lang w:eastAsia="en-GB"/>
        </w:rPr>
        <mc:AlternateContent>
          <mc:Choice Requires="wps">
            <w:drawing>
              <wp:anchor distT="0" distB="0" distL="114300" distR="114300" simplePos="0" relativeHeight="251665408" behindDoc="1" locked="0" layoutInCell="0" allowOverlap="1">
                <wp:simplePos x="0" y="0"/>
                <wp:positionH relativeFrom="page">
                  <wp:posOffset>593725</wp:posOffset>
                </wp:positionH>
                <wp:positionV relativeFrom="paragraph">
                  <wp:posOffset>-67310</wp:posOffset>
                </wp:positionV>
                <wp:extent cx="6372860" cy="0"/>
                <wp:effectExtent l="12700" t="8890" r="5715" b="1016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F213" id="Freeform 5" o:spid="_x0000_s1026" style="position:absolute;margin-left:46.75pt;margin-top:-5.3pt;width:501.8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RP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EMn&#10;lE/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6432" behindDoc="1" locked="0" layoutInCell="0" allowOverlap="1">
                <wp:simplePos x="0" y="0"/>
                <wp:positionH relativeFrom="page">
                  <wp:posOffset>593725</wp:posOffset>
                </wp:positionH>
                <wp:positionV relativeFrom="paragraph">
                  <wp:posOffset>361950</wp:posOffset>
                </wp:positionV>
                <wp:extent cx="6372860" cy="0"/>
                <wp:effectExtent l="12700" t="9525" r="5715" b="952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26CA" id="Freeform 6" o:spid="_x0000_s1026" style="position:absolute;margin-left:46.75pt;margin-top:28.5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rzWh&#10;2P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006A4BD1">
        <w:rPr>
          <w:rFonts w:asciiTheme="minorHAnsi" w:hAnsiTheme="minorHAnsi"/>
          <w:b/>
          <w:noProof/>
          <w:sz w:val="40"/>
          <w:szCs w:val="40"/>
        </w:rPr>
        <w:t>Recruitment</w:t>
      </w:r>
      <w:r w:rsidR="00571A9C">
        <w:rPr>
          <w:rFonts w:asciiTheme="minorHAnsi" w:hAnsiTheme="minorHAnsi"/>
          <w:b/>
          <w:noProof/>
          <w:sz w:val="40"/>
          <w:szCs w:val="40"/>
        </w:rPr>
        <w:t xml:space="preserve">, </w:t>
      </w:r>
      <w:r w:rsidR="006A4BD1">
        <w:rPr>
          <w:rFonts w:asciiTheme="minorHAnsi" w:hAnsiTheme="minorHAnsi"/>
          <w:b/>
          <w:noProof/>
          <w:sz w:val="40"/>
          <w:szCs w:val="40"/>
        </w:rPr>
        <w:t>Selection</w:t>
      </w:r>
      <w:r w:rsidR="00571A9C">
        <w:rPr>
          <w:rFonts w:asciiTheme="minorHAnsi" w:hAnsiTheme="minorHAnsi"/>
          <w:b/>
          <w:noProof/>
          <w:sz w:val="40"/>
          <w:szCs w:val="40"/>
        </w:rPr>
        <w:t>, and Disclosures</w:t>
      </w:r>
      <w:r w:rsidR="006A4BD1">
        <w:rPr>
          <w:rFonts w:asciiTheme="minorHAnsi" w:hAnsiTheme="minorHAnsi"/>
          <w:b/>
          <w:noProof/>
          <w:sz w:val="40"/>
          <w:szCs w:val="40"/>
        </w:rPr>
        <w:t xml:space="preserve"> </w:t>
      </w:r>
      <w:r w:rsidR="00571A9C">
        <w:rPr>
          <w:rFonts w:cs="Calibri"/>
          <w:b/>
          <w:bCs/>
          <w:sz w:val="40"/>
          <w:szCs w:val="40"/>
        </w:rPr>
        <w:t>Policy and Procedure</w:t>
      </w: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Pr="008B5796" w:rsidRDefault="006A4BD1" w:rsidP="006A4BD1">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6A4BD1" w:rsidRPr="008B5796" w:rsidRDefault="006A4BD1" w:rsidP="006A4BD1">
      <w:pPr>
        <w:kinsoku w:val="0"/>
        <w:overflowPunct w:val="0"/>
        <w:spacing w:before="7" w:line="120" w:lineRule="exact"/>
        <w:rPr>
          <w:rFonts w:asciiTheme="minorHAnsi" w:hAnsiTheme="minorHAnsi"/>
          <w:sz w:val="12"/>
          <w:szCs w:val="12"/>
        </w:rPr>
      </w:pPr>
    </w:p>
    <w:p w:rsidR="006A4BD1" w:rsidRPr="008B5796" w:rsidRDefault="006A4BD1" w:rsidP="006A4BD1">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6A4BD1" w:rsidRPr="008B5796" w:rsidRDefault="006A4BD1" w:rsidP="006A4BD1">
      <w:pPr>
        <w:pStyle w:val="BodyText"/>
        <w:kinsoku w:val="0"/>
        <w:overflowPunct w:val="0"/>
        <w:spacing w:before="56"/>
        <w:ind w:left="104"/>
        <w:rPr>
          <w:rFonts w:asciiTheme="minorHAnsi" w:hAnsiTheme="minorHAnsi"/>
        </w:rPr>
      </w:pPr>
    </w:p>
    <w:p w:rsidR="006A4BD1" w:rsidRDefault="006A4BD1" w:rsidP="006A4BD1">
      <w:pPr>
        <w:kinsoku w:val="0"/>
        <w:overflowPunct w:val="0"/>
        <w:spacing w:line="200"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6A4BD1" w:rsidRPr="009C24A6" w:rsidTr="00123F82">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8" w:line="10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spacing w:val="-2"/>
              </w:rPr>
              <w:t>Ow</w:t>
            </w:r>
            <w:r w:rsidRPr="009C24A6">
              <w:rPr>
                <w:rFonts w:asciiTheme="minorHAnsi" w:hAnsiTheme="minorHAnsi"/>
              </w:rPr>
              <w:t>ne</w:t>
            </w:r>
            <w:r w:rsidRPr="009C24A6">
              <w:rPr>
                <w:rFonts w:asciiTheme="minorHAnsi" w:hAnsiTheme="minorHAnsi"/>
                <w:spacing w:val="1"/>
              </w:rPr>
              <w:t>r</w:t>
            </w:r>
            <w:r w:rsidRPr="009C24A6">
              <w:rPr>
                <w:rFonts w:asciiTheme="minorHAnsi" w:hAnsiTheme="minorHAnsi"/>
              </w:rPr>
              <w:t>:</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Headmaster</w:t>
            </w:r>
          </w:p>
          <w:p w:rsidR="006A4BD1" w:rsidRPr="009C24A6" w:rsidRDefault="006A4BD1" w:rsidP="00123F82">
            <w:pPr>
              <w:rPr>
                <w:rFonts w:asciiTheme="minorHAnsi" w:hAnsiTheme="minorHAnsi"/>
              </w:rPr>
            </w:pPr>
          </w:p>
        </w:tc>
      </w:tr>
      <w:tr w:rsidR="006A4BD1" w:rsidRPr="009C24A6" w:rsidTr="00123F82">
        <w:trPr>
          <w:trHeight w:hRule="exact" w:val="614"/>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V</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1"/>
              </w:rPr>
              <w:t>s</w:t>
            </w:r>
            <w:r w:rsidRPr="009C24A6">
              <w:rPr>
                <w:rFonts w:asciiTheme="minorHAnsi" w:hAnsiTheme="minorHAnsi" w:cs="Calibri"/>
              </w:rPr>
              <w:t>ion</w:t>
            </w:r>
            <w:r w:rsidRPr="009C24A6">
              <w:rPr>
                <w:rFonts w:asciiTheme="minorHAnsi" w:hAnsiTheme="minorHAnsi" w:cs="Calibri"/>
                <w:spacing w:val="-14"/>
              </w:rPr>
              <w:t xml:space="preserve"> </w:t>
            </w:r>
            <w:r w:rsidRPr="009C24A6">
              <w:rPr>
                <w:rFonts w:asciiTheme="minorHAnsi" w:hAnsiTheme="minorHAnsi" w:cs="Calibri"/>
                <w:spacing w:val="1"/>
              </w:rPr>
              <w:t>N</w:t>
            </w:r>
            <w:r w:rsidRPr="009C24A6">
              <w:rPr>
                <w:rFonts w:asciiTheme="minorHAnsi" w:hAnsiTheme="minorHAnsi" w:cs="Calibri"/>
              </w:rPr>
              <w:t>u</w:t>
            </w:r>
            <w:r w:rsidRPr="009C24A6">
              <w:rPr>
                <w:rFonts w:asciiTheme="minorHAnsi" w:hAnsiTheme="minorHAnsi" w:cs="Calibri"/>
                <w:spacing w:val="-1"/>
              </w:rPr>
              <w:t>m</w:t>
            </w:r>
            <w:r w:rsidRPr="009C24A6">
              <w:rPr>
                <w:rFonts w:asciiTheme="minorHAnsi" w:hAnsiTheme="minorHAnsi" w:cs="Calibri"/>
              </w:rPr>
              <w:t>b</w:t>
            </w:r>
            <w:r w:rsidRPr="009C24A6">
              <w:rPr>
                <w:rFonts w:asciiTheme="minorHAnsi" w:hAnsiTheme="minorHAnsi" w:cs="Calibri"/>
                <w:spacing w:val="-1"/>
              </w:rPr>
              <w:t>e</w:t>
            </w:r>
            <w:r w:rsidRPr="009C24A6">
              <w:rPr>
                <w:rFonts w:asciiTheme="minorHAnsi" w:hAnsiTheme="minorHAnsi" w:cs="Calibri"/>
              </w:rPr>
              <w:t>r:</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Pr>
                <w:rFonts w:asciiTheme="minorHAnsi" w:hAnsiTheme="minorHAnsi" w:cs="Calibri"/>
              </w:rPr>
              <w:t>4</w:t>
            </w:r>
          </w:p>
        </w:tc>
      </w:tr>
      <w:tr w:rsidR="006A4BD1" w:rsidRPr="009C24A6" w:rsidTr="00123F82">
        <w:trPr>
          <w:trHeight w:hRule="exact" w:val="566"/>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Working</w:t>
            </w:r>
            <w:r w:rsidRPr="009C24A6">
              <w:rPr>
                <w:rFonts w:asciiTheme="minorHAnsi" w:hAnsiTheme="minorHAnsi" w:cs="Calibri"/>
                <w:spacing w:val="-13"/>
              </w:rPr>
              <w:t xml:space="preserve"> </w:t>
            </w:r>
            <w:r w:rsidRPr="009C24A6">
              <w:rPr>
                <w:rFonts w:asciiTheme="minorHAnsi" w:hAnsiTheme="minorHAnsi" w:cs="Calibri"/>
              </w:rPr>
              <w:t>Date:</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AC716F">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sidR="00AC716F">
              <w:rPr>
                <w:rFonts w:asciiTheme="minorHAnsi" w:hAnsiTheme="minorHAnsi" w:cs="Calibri"/>
              </w:rPr>
              <w:t>03 March 2016</w:t>
            </w:r>
          </w:p>
        </w:tc>
      </w:tr>
      <w:tr w:rsidR="006A4BD1" w:rsidRPr="009C24A6" w:rsidTr="00123F82">
        <w:trPr>
          <w:trHeight w:hRule="exact" w:val="742"/>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Stat</w:t>
            </w:r>
            <w:r w:rsidRPr="009C24A6">
              <w:rPr>
                <w:rFonts w:asciiTheme="minorHAnsi" w:hAnsiTheme="minorHAnsi" w:cs="Calibri"/>
                <w:spacing w:val="1"/>
              </w:rPr>
              <w:t>u</w:t>
            </w:r>
            <w:r w:rsidRPr="009C24A6">
              <w:rPr>
                <w:rFonts w:asciiTheme="minorHAnsi" w:hAnsiTheme="minorHAnsi" w:cs="Calibri"/>
              </w:rPr>
              <w:t>tory</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r w:rsidRPr="009C24A6">
              <w:rPr>
                <w:rFonts w:asciiTheme="minorHAnsi" w:hAnsiTheme="minorHAnsi" w:cs="Calibri"/>
                <w:spacing w:val="-8"/>
              </w:rPr>
              <w:t xml:space="preserve"> </w:t>
            </w:r>
            <w:r w:rsidRPr="009C24A6">
              <w:rPr>
                <w:rFonts w:asciiTheme="minorHAnsi" w:hAnsiTheme="minorHAnsi" w:cs="Calibri"/>
              </w:rPr>
              <w:t>/</w:t>
            </w:r>
            <w:r w:rsidRPr="009C24A6">
              <w:rPr>
                <w:rFonts w:asciiTheme="minorHAnsi" w:hAnsiTheme="minorHAnsi" w:cs="Calibri"/>
                <w:spacing w:val="-6"/>
              </w:rPr>
              <w:t xml:space="preserve"> </w:t>
            </w:r>
            <w:r w:rsidRPr="009C24A6">
              <w:rPr>
                <w:rFonts w:asciiTheme="minorHAnsi" w:hAnsiTheme="minorHAnsi" w:cs="Calibri"/>
              </w:rPr>
              <w:t>Oth</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6"/>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r w:rsidRPr="009C24A6">
              <w:rPr>
                <w:rFonts w:asciiTheme="minorHAnsi" w:hAnsiTheme="minorHAnsi"/>
              </w:rPr>
              <w:t xml:space="preserve"> </w:t>
            </w: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Pr>
                <w:rFonts w:asciiTheme="minorHAnsi" w:hAnsiTheme="minorHAnsi" w:cs="Calibri"/>
              </w:rPr>
              <w:t>Statutory</w:t>
            </w:r>
          </w:p>
        </w:tc>
      </w:tr>
      <w:tr w:rsidR="006A4BD1" w:rsidRPr="009C24A6" w:rsidTr="00123F82">
        <w:trPr>
          <w:trHeight w:hRule="exact" w:val="684"/>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6"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Aut</w:t>
            </w:r>
            <w:r w:rsidRPr="009C24A6">
              <w:rPr>
                <w:rFonts w:asciiTheme="minorHAnsi" w:hAnsiTheme="minorHAnsi" w:cs="Calibri"/>
                <w:spacing w:val="1"/>
              </w:rPr>
              <w:t>h</w:t>
            </w:r>
            <w:r w:rsidRPr="009C24A6">
              <w:rPr>
                <w:rFonts w:asciiTheme="minorHAnsi" w:hAnsiTheme="minorHAnsi" w:cs="Calibri"/>
              </w:rPr>
              <w:t>ori</w:t>
            </w:r>
            <w:r w:rsidRPr="009C24A6">
              <w:rPr>
                <w:rFonts w:asciiTheme="minorHAnsi" w:hAnsiTheme="minorHAnsi" w:cs="Calibri"/>
                <w:spacing w:val="-2"/>
              </w:rPr>
              <w:t>s</w:t>
            </w:r>
            <w:r w:rsidRPr="009C24A6">
              <w:rPr>
                <w:rFonts w:asciiTheme="minorHAnsi" w:hAnsiTheme="minorHAnsi" w:cs="Calibri"/>
                <w:spacing w:val="-1"/>
              </w:rPr>
              <w:t>e</w:t>
            </w:r>
            <w:r w:rsidRPr="009C24A6">
              <w:rPr>
                <w:rFonts w:asciiTheme="minorHAnsi" w:hAnsiTheme="minorHAnsi" w:cs="Calibri"/>
              </w:rPr>
              <w:t>d</w:t>
            </w:r>
            <w:r w:rsidRPr="009C24A6">
              <w:rPr>
                <w:rFonts w:asciiTheme="minorHAnsi" w:hAnsiTheme="minorHAnsi" w:cs="Calibri"/>
                <w:spacing w:val="-10"/>
              </w:rPr>
              <w:t xml:space="preserve"> </w:t>
            </w:r>
            <w:r w:rsidRPr="009C24A6">
              <w:rPr>
                <w:rFonts w:asciiTheme="minorHAnsi" w:hAnsiTheme="minorHAnsi" w:cs="Calibri"/>
                <w:spacing w:val="1"/>
              </w:rPr>
              <w:t>by: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Bursar</w:t>
            </w:r>
          </w:p>
        </w:tc>
      </w:tr>
      <w:tr w:rsidR="006A4BD1" w:rsidRPr="009C24A6" w:rsidTr="00123F82">
        <w:trPr>
          <w:trHeight w:hRule="exact" w:val="553"/>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E</w:t>
            </w:r>
            <w:r w:rsidRPr="009C24A6">
              <w:rPr>
                <w:rFonts w:asciiTheme="minorHAnsi" w:hAnsiTheme="minorHAnsi" w:cs="Calibri"/>
                <w:spacing w:val="-1"/>
              </w:rPr>
              <w:t>ffe</w:t>
            </w:r>
            <w:r w:rsidRPr="009C24A6">
              <w:rPr>
                <w:rFonts w:asciiTheme="minorHAnsi" w:hAnsiTheme="minorHAnsi" w:cs="Calibri"/>
              </w:rPr>
              <w:t>ct</w:t>
            </w:r>
            <w:r w:rsidRPr="009C24A6">
              <w:rPr>
                <w:rFonts w:asciiTheme="minorHAnsi" w:hAnsiTheme="minorHAnsi" w:cs="Calibri"/>
                <w:spacing w:val="2"/>
              </w:rPr>
              <w:t>i</w:t>
            </w:r>
            <w:r w:rsidRPr="009C24A6">
              <w:rPr>
                <w:rFonts w:asciiTheme="minorHAnsi" w:hAnsiTheme="minorHAnsi" w:cs="Calibri"/>
                <w:spacing w:val="-2"/>
              </w:rPr>
              <w:t>v</w:t>
            </w:r>
            <w:r w:rsidRPr="009C24A6">
              <w:rPr>
                <w:rFonts w:asciiTheme="minorHAnsi" w:hAnsiTheme="minorHAnsi" w:cs="Calibri"/>
              </w:rPr>
              <w:t>e</w:t>
            </w:r>
            <w:r w:rsidRPr="009C24A6">
              <w:rPr>
                <w:rFonts w:asciiTheme="minorHAnsi" w:hAnsiTheme="minorHAnsi" w:cs="Calibri"/>
                <w:spacing w:val="-7"/>
              </w:rPr>
              <w:t xml:space="preserve"> </w:t>
            </w:r>
            <w:r w:rsidRPr="009C24A6">
              <w:rPr>
                <w:rFonts w:asciiTheme="minorHAnsi" w:hAnsiTheme="minorHAnsi" w:cs="Calibri"/>
                <w:spacing w:val="1"/>
              </w:rPr>
              <w:t>d</w:t>
            </w:r>
            <w:r w:rsidRPr="009C24A6">
              <w:rPr>
                <w:rFonts w:asciiTheme="minorHAnsi" w:hAnsiTheme="minorHAnsi" w:cs="Calibri"/>
              </w:rPr>
              <w:t>ate</w:t>
            </w:r>
            <w:r w:rsidRPr="009C24A6">
              <w:rPr>
                <w:rFonts w:asciiTheme="minorHAnsi" w:hAnsiTheme="minorHAnsi" w:cs="Calibri"/>
                <w:spacing w:val="-7"/>
              </w:rPr>
              <w:t xml:space="preserve"> </w:t>
            </w:r>
            <w:r w:rsidRPr="009C24A6">
              <w:rPr>
                <w:rFonts w:asciiTheme="minorHAnsi" w:hAnsiTheme="minorHAnsi" w:cs="Calibri"/>
                <w:spacing w:val="3"/>
              </w:rPr>
              <w:t>o</w:t>
            </w:r>
            <w:r w:rsidRPr="009C24A6">
              <w:rPr>
                <w:rFonts w:asciiTheme="minorHAnsi" w:hAnsiTheme="minorHAnsi" w:cs="Calibri"/>
              </w:rPr>
              <w:t>f</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571A9C">
            <w:pPr>
              <w:rPr>
                <w:rFonts w:asciiTheme="minorHAnsi" w:hAnsiTheme="minorHAnsi"/>
              </w:rPr>
            </w:pPr>
            <w:r w:rsidRPr="009C24A6">
              <w:rPr>
                <w:rFonts w:asciiTheme="minorHAnsi" w:hAnsiTheme="minorHAnsi" w:cs="Calibri"/>
              </w:rPr>
              <w:t xml:space="preserve">  </w:t>
            </w:r>
            <w:r w:rsidR="00571A9C">
              <w:rPr>
                <w:rFonts w:asciiTheme="minorHAnsi" w:hAnsiTheme="minorHAnsi" w:cs="Calibri"/>
              </w:rPr>
              <w:t>03 March 2016</w:t>
            </w:r>
          </w:p>
        </w:tc>
      </w:tr>
      <w:tr w:rsidR="006A4BD1" w:rsidRPr="009C24A6" w:rsidTr="00123F82">
        <w:trPr>
          <w:trHeight w:hRule="exact" w:val="575"/>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C</w:t>
            </w:r>
            <w:r w:rsidRPr="009C24A6">
              <w:rPr>
                <w:rFonts w:asciiTheme="minorHAnsi" w:hAnsiTheme="minorHAnsi" w:cs="Calibri"/>
                <w:spacing w:val="-1"/>
              </w:rPr>
              <w:t>i</w:t>
            </w:r>
            <w:r w:rsidRPr="009C24A6">
              <w:rPr>
                <w:rFonts w:asciiTheme="minorHAnsi" w:hAnsiTheme="minorHAnsi" w:cs="Calibri"/>
              </w:rPr>
              <w:t>rculatio</w:t>
            </w:r>
            <w:r w:rsidRPr="009C24A6">
              <w:rPr>
                <w:rFonts w:asciiTheme="minorHAnsi" w:hAnsiTheme="minorHAnsi" w:cs="Calibri"/>
                <w:spacing w:val="1"/>
              </w:rPr>
              <w:t>n</w:t>
            </w:r>
            <w:r w:rsidRPr="009C24A6">
              <w:rPr>
                <w:rFonts w:asciiTheme="minorHAnsi" w:hAnsiTheme="minorHAnsi" w:cs="Calibri"/>
              </w:rPr>
              <w:t>:</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cs="Calibri"/>
                <w:spacing w:val="-1"/>
              </w:rPr>
            </w:pPr>
            <w:r w:rsidRPr="009C24A6">
              <w:rPr>
                <w:rFonts w:asciiTheme="minorHAnsi" w:hAnsiTheme="minorHAnsi" w:cs="Calibri"/>
                <w:spacing w:val="-1"/>
              </w:rPr>
              <w:t xml:space="preserve"> All Staff</w:t>
            </w:r>
          </w:p>
        </w:tc>
      </w:tr>
      <w:tr w:rsidR="006A4BD1" w:rsidRPr="009C24A6" w:rsidTr="00123F82">
        <w:trPr>
          <w:trHeight w:hRule="exact" w:val="569"/>
        </w:trPr>
        <w:tc>
          <w:tcPr>
            <w:tcW w:w="4400" w:type="dxa"/>
            <w:tcBorders>
              <w:top w:val="single" w:sz="4" w:space="0" w:color="808080"/>
              <w:left w:val="single" w:sz="4" w:space="0" w:color="808080"/>
              <w:bottom w:val="single" w:sz="4" w:space="0" w:color="808080"/>
              <w:right w:val="single" w:sz="4" w:space="0" w:color="808080"/>
            </w:tcBorders>
          </w:tcPr>
          <w:p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Renewal Date:</w:t>
            </w:r>
          </w:p>
        </w:tc>
        <w:tc>
          <w:tcPr>
            <w:tcW w:w="5581" w:type="dxa"/>
            <w:tcBorders>
              <w:top w:val="single" w:sz="4" w:space="0" w:color="808080"/>
              <w:left w:val="single" w:sz="4" w:space="0" w:color="808080"/>
              <w:bottom w:val="single" w:sz="4" w:space="0" w:color="808080"/>
              <w:right w:val="single" w:sz="4" w:space="0" w:color="808080"/>
            </w:tcBorders>
          </w:tcPr>
          <w:p w:rsidR="006A4BD1" w:rsidRPr="009C24A6" w:rsidRDefault="006A4BD1" w:rsidP="00AC716F">
            <w:pPr>
              <w:rPr>
                <w:rFonts w:asciiTheme="minorHAnsi" w:hAnsiTheme="minorHAnsi"/>
              </w:rPr>
            </w:pPr>
            <w:r w:rsidRPr="009C24A6">
              <w:rPr>
                <w:rFonts w:asciiTheme="minorHAnsi" w:hAnsiTheme="minorHAnsi"/>
              </w:rPr>
              <w:t xml:space="preserve">  </w:t>
            </w:r>
            <w:r w:rsidR="00AC716F">
              <w:rPr>
                <w:rFonts w:asciiTheme="minorHAnsi" w:hAnsiTheme="minorHAnsi"/>
              </w:rPr>
              <w:t>03 March 2017</w:t>
            </w:r>
          </w:p>
        </w:tc>
      </w:tr>
    </w:tbl>
    <w:p w:rsidR="006A4BD1" w:rsidRDefault="006A4BD1" w:rsidP="006A4BD1">
      <w:pPr>
        <w:kinsoku w:val="0"/>
        <w:overflowPunct w:val="0"/>
        <w:spacing w:line="200" w:lineRule="exact"/>
        <w:rPr>
          <w:sz w:val="20"/>
          <w:szCs w:val="20"/>
        </w:rPr>
      </w:pPr>
    </w:p>
    <w:p w:rsidR="006A4BD1" w:rsidRDefault="006A4BD1" w:rsidP="006A4BD1">
      <w:pPr>
        <w:kinsoku w:val="0"/>
        <w:overflowPunct w:val="0"/>
        <w:spacing w:before="11" w:line="220" w:lineRule="exact"/>
      </w:pPr>
    </w:p>
    <w:p w:rsidR="006A4BD1" w:rsidRDefault="006A4BD1" w:rsidP="006A4BD1">
      <w:pPr>
        <w:sectPr w:rsidR="006A4BD1" w:rsidSect="006A4BD1">
          <w:headerReference w:type="default" r:id="rId7"/>
          <w:footerReference w:type="default" r:id="rId8"/>
          <w:pgSz w:w="11907" w:h="16840"/>
          <w:pgMar w:top="1560" w:right="620" w:bottom="1600" w:left="860" w:header="0" w:footer="1408" w:gutter="0"/>
          <w:pgNumType w:start="1"/>
          <w:cols w:space="720"/>
          <w:noEndnote/>
          <w:titlePg/>
          <w:docGrid w:linePitch="299"/>
        </w:sectPr>
      </w:pPr>
    </w:p>
    <w:p w:rsidR="006A4BD1" w:rsidRDefault="006A4BD1" w:rsidP="006A4BD1">
      <w:pPr>
        <w:kinsoku w:val="0"/>
        <w:overflowPunct w:val="0"/>
        <w:spacing w:before="6" w:line="190" w:lineRule="exact"/>
        <w:rPr>
          <w:sz w:val="19"/>
          <w:szCs w:val="19"/>
        </w:rPr>
      </w:pPr>
    </w:p>
    <w:p w:rsidR="006A4BD1" w:rsidRPr="008B5796" w:rsidRDefault="006A4BD1" w:rsidP="006A4BD1">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6A4BD1" w:rsidRPr="008B5796" w:rsidRDefault="006A4BD1"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571A9C">
          <w:rPr>
            <w:rFonts w:asciiTheme="minorHAnsi" w:hAnsiTheme="minorHAnsi"/>
          </w:rPr>
          <w:t>General</w:t>
        </w:r>
        <w:r w:rsidRPr="008B5796">
          <w:rPr>
            <w:rFonts w:asciiTheme="minorHAnsi" w:hAnsiTheme="minorHAnsi"/>
          </w:rPr>
          <w:tab/>
        </w:r>
        <w:r w:rsidR="00571A9C">
          <w:rPr>
            <w:rFonts w:asciiTheme="minorHAnsi" w:hAnsiTheme="minorHAnsi"/>
          </w:rPr>
          <w:t>3</w:t>
        </w:r>
      </w:hyperlink>
    </w:p>
    <w:p w:rsidR="006A4BD1" w:rsidRPr="008B5796" w:rsidRDefault="006A4BD1"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Scope of this Policy</w:t>
        </w:r>
        <w:r w:rsidRPr="008B5796">
          <w:rPr>
            <w:rFonts w:asciiTheme="minorHAnsi" w:hAnsiTheme="minorHAnsi"/>
          </w:rPr>
          <w:tab/>
        </w:r>
        <w:r w:rsidR="00571A9C">
          <w:rPr>
            <w:rFonts w:asciiTheme="minorHAnsi" w:hAnsiTheme="minorHAnsi"/>
          </w:rPr>
          <w:t>3</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Application Form</w:t>
        </w:r>
        <w:r w:rsidRPr="008B5796">
          <w:rPr>
            <w:rFonts w:asciiTheme="minorHAnsi" w:hAnsiTheme="minorHAnsi"/>
          </w:rPr>
          <w:tab/>
        </w:r>
        <w:r>
          <w:rPr>
            <w:rFonts w:asciiTheme="minorHAnsi" w:hAnsiTheme="minorHAnsi"/>
          </w:rPr>
          <w:t>3</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Invitation to Interview</w:t>
        </w:r>
        <w:r w:rsidRPr="008B5796">
          <w:rPr>
            <w:rFonts w:asciiTheme="minorHAnsi" w:hAnsiTheme="minorHAnsi"/>
          </w:rPr>
          <w:tab/>
        </w:r>
        <w:r>
          <w:rPr>
            <w:rFonts w:asciiTheme="minorHAnsi" w:hAnsiTheme="minorHAnsi"/>
          </w:rPr>
          <w:t>5</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Conditional Offer of Employment: Pre-Appointment Checks</w:t>
        </w:r>
        <w:r w:rsidRPr="008B5796">
          <w:rPr>
            <w:rFonts w:asciiTheme="minorHAnsi" w:hAnsiTheme="minorHAnsi"/>
          </w:rPr>
          <w:tab/>
        </w:r>
        <w:r>
          <w:rPr>
            <w:rFonts w:asciiTheme="minorHAnsi" w:hAnsiTheme="minorHAnsi"/>
          </w:rPr>
          <w:t>5</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References</w:t>
        </w:r>
        <w:r w:rsidRPr="008B5796">
          <w:rPr>
            <w:rFonts w:asciiTheme="minorHAnsi" w:hAnsiTheme="minorHAnsi"/>
          </w:rPr>
          <w:tab/>
        </w:r>
        <w:r>
          <w:rPr>
            <w:rFonts w:asciiTheme="minorHAnsi" w:hAnsiTheme="minorHAnsi"/>
          </w:rPr>
          <w:t>6</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Criminal Records Policy</w:t>
        </w:r>
        <w:r w:rsidRPr="008B5796">
          <w:rPr>
            <w:rFonts w:asciiTheme="minorHAnsi" w:hAnsiTheme="minorHAnsi"/>
          </w:rPr>
          <w:tab/>
        </w:r>
        <w:r>
          <w:rPr>
            <w:rFonts w:asciiTheme="minorHAnsi" w:hAnsiTheme="minorHAnsi"/>
          </w:rPr>
          <w:t>6</w:t>
        </w:r>
      </w:hyperlink>
    </w:p>
    <w:p w:rsidR="00571A9C" w:rsidRPr="008B5796" w:rsidRDefault="00571A9C"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Pr>
            <w:rFonts w:asciiTheme="minorHAnsi" w:hAnsiTheme="minorHAnsi"/>
          </w:rPr>
          <w:t>Retention and Security of Records</w:t>
        </w:r>
        <w:r w:rsidRPr="008B5796">
          <w:rPr>
            <w:rFonts w:asciiTheme="minorHAnsi" w:hAnsiTheme="minorHAnsi"/>
          </w:rPr>
          <w:tab/>
        </w:r>
        <w:r>
          <w:rPr>
            <w:rFonts w:asciiTheme="minorHAnsi" w:hAnsiTheme="minorHAnsi"/>
          </w:rPr>
          <w:t>7</w:t>
        </w:r>
      </w:hyperlink>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6A4BD1" w:rsidRDefault="00AC716F" w:rsidP="00AC716F">
      <w:pPr>
        <w:tabs>
          <w:tab w:val="left" w:pos="6435"/>
        </w:tabs>
        <w:kinsoku w:val="0"/>
        <w:overflowPunct w:val="0"/>
        <w:spacing w:before="6" w:line="190" w:lineRule="exact"/>
        <w:rPr>
          <w:sz w:val="19"/>
          <w:szCs w:val="19"/>
        </w:rPr>
      </w:pPr>
      <w:r>
        <w:rPr>
          <w:sz w:val="19"/>
          <w:szCs w:val="19"/>
        </w:rPr>
        <w:tab/>
      </w:r>
    </w:p>
    <w:p w:rsidR="006A4BD1" w:rsidRDefault="006A4BD1" w:rsidP="006A4BD1">
      <w:pPr>
        <w:kinsoku w:val="0"/>
        <w:overflowPunct w:val="0"/>
        <w:spacing w:before="6" w:line="190" w:lineRule="exact"/>
        <w:rPr>
          <w:sz w:val="19"/>
          <w:szCs w:val="19"/>
        </w:rPr>
      </w:pPr>
    </w:p>
    <w:p w:rsidR="006A4BD1" w:rsidRDefault="006A4BD1" w:rsidP="006A4BD1">
      <w:pPr>
        <w:kinsoku w:val="0"/>
        <w:overflowPunct w:val="0"/>
        <w:spacing w:before="6" w:line="190" w:lineRule="exact"/>
        <w:rPr>
          <w:sz w:val="19"/>
          <w:szCs w:val="19"/>
        </w:rPr>
      </w:pP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lastRenderedPageBreak/>
        <w:t>References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ISI Handbook for the Inspection of Schools - The Regulatory Requirements April 2015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DfE Statutory Guidance 'Keeping Children Safe in Education', March 2015: </w:t>
      </w:r>
      <w:hyperlink r:id="rId9" w:tgtFrame="_blank" w:history="1">
        <w:r w:rsidRPr="00713F15">
          <w:rPr>
            <w:rFonts w:asciiTheme="minorHAnsi" w:eastAsia="Times New Roman" w:hAnsiTheme="minorHAnsi" w:cs="Arial"/>
            <w:color w:val="0E3B80"/>
            <w:lang w:eastAsia="en-GB"/>
          </w:rPr>
          <w:t>https://www.gov.uk/government/publications/keeping-children-safe-in-education--2</w:t>
        </w:r>
      </w:hyperlink>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1. General</w:t>
      </w:r>
      <w:r w:rsidRPr="00713F15">
        <w:rPr>
          <w:rFonts w:asciiTheme="minorHAnsi" w:eastAsia="Times New Roman" w:hAnsiTheme="minorHAnsi" w:cs="Arial"/>
          <w:lang w:eastAsia="en-GB"/>
        </w:rPr>
        <w:t> </w:t>
      </w:r>
    </w:p>
    <w:p w:rsidR="00713F15" w:rsidRPr="00713F15" w:rsidRDefault="00571A9C" w:rsidP="00571A9C">
      <w:pPr>
        <w:shd w:val="clear" w:color="auto" w:fill="FFFFFF"/>
        <w:spacing w:after="150" w:line="225" w:lineRule="atLeast"/>
        <w:jc w:val="both"/>
        <w:rPr>
          <w:rFonts w:asciiTheme="minorHAnsi" w:eastAsia="Times New Roman" w:hAnsiTheme="minorHAnsi" w:cs="Arial"/>
          <w:lang w:eastAsia="en-GB"/>
        </w:rPr>
      </w:pPr>
      <w:r>
        <w:rPr>
          <w:rFonts w:asciiTheme="minorHAnsi" w:eastAsia="Times New Roman" w:hAnsiTheme="minorHAnsi" w:cs="Arial"/>
          <w:lang w:eastAsia="en-GB"/>
        </w:rPr>
        <w:t>Teikyo School</w:t>
      </w:r>
      <w:r w:rsidR="00713F15" w:rsidRPr="00713F15">
        <w:rPr>
          <w:rFonts w:asciiTheme="minorHAnsi" w:eastAsia="Times New Roman" w:hAnsiTheme="minorHAnsi" w:cs="Arial"/>
          <w:lang w:eastAsia="en-GB"/>
        </w:rPr>
        <w:t xml:space="preserve"> ("the School") is committed to ensuring the best possible environment for the children and young people in its care. Safeguarding and promoting the welfare of children and young people is our highest priority.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aims to recruit staff that share and understand our commitment and to ensure that no job applicant is treated unfairly by reason of a protected characteristic as defined within the Equality Act 2010.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All queries on the School's Application Form and recruitment process must be directed to </w:t>
      </w:r>
      <w:r w:rsidR="00090B25">
        <w:rPr>
          <w:rFonts w:asciiTheme="minorHAnsi" w:eastAsia="Times New Roman" w:hAnsiTheme="minorHAnsi" w:cs="Arial"/>
          <w:lang w:eastAsia="en-GB"/>
        </w:rPr>
        <w:t>The Bursar</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2. Scope of this Policy</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Recruitment, Selection and Disclosures Policy and Procedure herewith refers and applies to staff directly recruited and employed by the School. In the Education (Independent Schools Standards) (England) Regulations 2010, staff are defined as: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person working at the School whether under a contract of employment, under a contract for services or otherwise than under a contract, but does not include supply staff or a volunteer.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staff who TUPE transfer into the School's staff, will be required to undertake the statutory requirements with regard to safer recruitment checks.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3. Application Form</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only accept applications from candidates completing the relevant Application Form in full.  CVs will not be accepted in substitution for completed Application Forms.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make candidates aware that all posts in the School involve some degree of </w:t>
      </w:r>
      <w:bookmarkStart w:id="0" w:name="_GoBack"/>
      <w:bookmarkEnd w:id="0"/>
      <w:r w:rsidRPr="00713F15">
        <w:rPr>
          <w:rFonts w:asciiTheme="minorHAnsi" w:eastAsia="Times New Roman" w:hAnsiTheme="minorHAnsi" w:cs="Arial"/>
          <w:lang w:eastAsia="en-GB"/>
        </w:rPr>
        <w:t>responsibility for safeguarding children, although the extent of that responsibility will vary according to the nature of the post.  Candidates for employed posts will receive a Job Description and Person Specification for the role applied for.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Bursar.  If candidates would like to discuss this beforehand, they are asked to please telephone in confidence to the Bursar for advice.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unspent convictions, cautions, reprimands or warnings must be disclosed to the School. However</w:t>
      </w:r>
      <w:r w:rsidR="00090B25">
        <w:rPr>
          <w:rFonts w:asciiTheme="minorHAnsi" w:eastAsia="Times New Roman" w:hAnsiTheme="minorHAnsi" w:cs="Arial"/>
          <w:lang w:eastAsia="en-GB"/>
        </w:rPr>
        <w:t>,</w:t>
      </w:r>
      <w:r w:rsidRPr="00713F15">
        <w:rPr>
          <w:rFonts w:asciiTheme="minorHAnsi" w:eastAsia="Times New Roman" w:hAnsiTheme="minorHAnsi" w:cs="Arial"/>
          <w:lang w:eastAsia="en-GB"/>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hyperlink r:id="rId10" w:tgtFrame="_blank" w:history="1">
        <w:r w:rsidRPr="00713F15">
          <w:rPr>
            <w:rFonts w:asciiTheme="minorHAnsi" w:eastAsia="Times New Roman" w:hAnsiTheme="minorHAnsi" w:cs="Arial"/>
            <w:color w:val="0E3B80"/>
            <w:lang w:eastAsia="en-GB"/>
          </w:rPr>
          <w:t>https://www.gov.uk/government/uploads/system/uploads/attachment_data/file/384712/DBS_referrals_guide_-_relevant_offences_v2.4.pdf</w:t>
        </w:r>
      </w:hyperlink>
      <w:r w:rsidRPr="00713F15">
        <w:rPr>
          <w:rFonts w:asciiTheme="minorHAnsi" w:eastAsia="Times New Roman" w:hAnsiTheme="minorHAnsi" w:cs="Arial"/>
          <w:lang w:eastAsia="en-GB"/>
        </w:rPr>
        <w:t>).</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'by association' requirement also applies if you live in the same household as or someone is employed in your household who has been disqualified from working with children under the Childcare Act 2006.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takes its responsibility to safeguard children very seriously and any staff member and/or successful candidate who is aware of anything that may affect his/her suitability to work with children must notify </w:t>
      </w:r>
      <w:r w:rsidR="00090B25">
        <w:rPr>
          <w:rFonts w:asciiTheme="minorHAnsi" w:eastAsia="Times New Roman" w:hAnsiTheme="minorHAnsi" w:cs="Arial"/>
          <w:lang w:eastAsia="en-GB"/>
        </w:rPr>
        <w:t>the S</w:t>
      </w:r>
      <w:r w:rsidRPr="00713F15">
        <w:rPr>
          <w:rFonts w:asciiTheme="minorHAnsi" w:eastAsia="Times New Roman" w:hAnsiTheme="minorHAnsi" w:cs="Arial"/>
          <w:lang w:eastAsia="en-GB"/>
        </w:rPr>
        <w:t>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w:t>
      </w:r>
      <w:r w:rsidR="00090B25">
        <w:rPr>
          <w:rFonts w:asciiTheme="minorHAnsi" w:eastAsia="Times New Roman" w:hAnsiTheme="minorHAnsi" w:cs="Arial"/>
          <w:lang w:eastAsia="en-GB"/>
        </w:rPr>
        <w:t>B</w:t>
      </w:r>
      <w:r w:rsidRPr="00713F15">
        <w:rPr>
          <w:rFonts w:asciiTheme="minorHAnsi" w:eastAsia="Times New Roman" w:hAnsiTheme="minorHAnsi" w:cs="Arial"/>
          <w:lang w:eastAsia="en-GB"/>
        </w:rPr>
        <w:t>ursar for more details.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Failure to declare any convictions (that are not subject to DBS filtering) may disqualify a candidate for appointment or result in summary dismissal if the discrepancy comes to light subsequently.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by the School if they have been appointed, and a possible referral to the police and/or DBS.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4. Invitation to Interview</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It is recommended best practice that at least one </w:t>
      </w:r>
      <w:r w:rsidR="00090B25">
        <w:rPr>
          <w:rFonts w:asciiTheme="minorHAnsi" w:eastAsia="Times New Roman" w:hAnsiTheme="minorHAnsi" w:cs="Arial"/>
          <w:lang w:eastAsia="en-GB"/>
        </w:rPr>
        <w:t>interviewer</w:t>
      </w:r>
      <w:r w:rsidRPr="00713F15">
        <w:rPr>
          <w:rFonts w:asciiTheme="minorHAnsi" w:eastAsia="Times New Roman" w:hAnsiTheme="minorHAnsi" w:cs="Arial"/>
          <w:lang w:eastAsia="en-GB"/>
        </w:rPr>
        <w:t xml:space="preserve"> will have undertaken safer recruitment training.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interview will be conducted in person and the areas which it will explore will include suitability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requests that all candidates invited to interview also bring with them: </w:t>
      </w:r>
    </w:p>
    <w:p w:rsidR="00713F15" w:rsidRPr="00713F15" w:rsidRDefault="00713F15"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 current driving licence including a photograph </w:t>
      </w:r>
      <w:r w:rsidRPr="00713F15">
        <w:rPr>
          <w:rFonts w:asciiTheme="minorHAnsi" w:eastAsia="Times New Roman" w:hAnsiTheme="minorHAnsi" w:cs="Arial"/>
          <w:u w:val="single"/>
          <w:lang w:eastAsia="en-GB"/>
        </w:rPr>
        <w:t>or</w:t>
      </w:r>
      <w:r w:rsidRPr="00713F15">
        <w:rPr>
          <w:rFonts w:asciiTheme="minorHAnsi" w:eastAsia="Times New Roman" w:hAnsiTheme="minorHAnsi" w:cs="Arial"/>
          <w:lang w:eastAsia="en-GB"/>
        </w:rPr>
        <w:t xml:space="preserve"> a passport </w:t>
      </w:r>
      <w:r w:rsidRPr="00713F15">
        <w:rPr>
          <w:rFonts w:asciiTheme="minorHAnsi" w:eastAsia="Times New Roman" w:hAnsiTheme="minorHAnsi" w:cs="Arial"/>
          <w:u w:val="single"/>
          <w:lang w:eastAsia="en-GB"/>
        </w:rPr>
        <w:t>or</w:t>
      </w:r>
      <w:r w:rsidRPr="00713F15">
        <w:rPr>
          <w:rFonts w:asciiTheme="minorHAnsi" w:eastAsia="Times New Roman" w:hAnsiTheme="minorHAnsi" w:cs="Arial"/>
          <w:lang w:eastAsia="en-GB"/>
        </w:rPr>
        <w:t xml:space="preserve"> a full birth certificate;</w:t>
      </w:r>
    </w:p>
    <w:p w:rsidR="00713F15" w:rsidRPr="00713F15" w:rsidRDefault="00713F15"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A utility bill or financial statement issued within the last three months showing the candidate's current name and address;</w:t>
      </w:r>
    </w:p>
    <w:p w:rsidR="00713F15" w:rsidRPr="00713F15" w:rsidRDefault="00713F15"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Where appropriate any documentation evidencing a change of name;</w:t>
      </w:r>
    </w:p>
    <w:p w:rsidR="00713F15" w:rsidRPr="00713F15" w:rsidRDefault="00713F15"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candidate is not a citizen of a country within the European Economic Area or Switzerland, proof of entitlement to work and reside in the UK.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Please note that originals of the above are necessary. Photocopies or certified copies are not sufficient.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Candidates with a disability who are invited to interview should inform the School of any necessary reasonable adjustments or arrangements to assist them in attending the interview.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5. Conditional Offer of Appointment: Pre-Appointment Checks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offer to a successful candidate will be conditional upon: </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Receipt of at least two satisfactory references (if these have not already been received); </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Verification of identity and qualifications including, where appropriate, evidence of the right to work in the UK;</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A satisfactory enhanced DBS check and if appropriate, a check of the Barred List maintained by the DBS;</w:t>
      </w:r>
    </w:p>
    <w:p w:rsidR="00713F15" w:rsidRPr="00713F15" w:rsidRDefault="00713F15" w:rsidP="00571A9C">
      <w:pPr>
        <w:numPr>
          <w:ilvl w:val="0"/>
          <w:numId w:val="13"/>
        </w:numPr>
        <w:shd w:val="clear" w:color="auto" w:fill="FFFFFF"/>
        <w:spacing w:after="0" w:line="240" w:lineRule="auto"/>
        <w:ind w:left="450"/>
        <w:rPr>
          <w:rFonts w:asciiTheme="minorHAnsi" w:eastAsia="Times New Roman" w:hAnsiTheme="minorHAnsi" w:cs="Arial"/>
          <w:lang w:eastAsia="en-GB"/>
        </w:rPr>
      </w:pPr>
      <w:r w:rsidRPr="00713F15">
        <w:rPr>
          <w:rFonts w:asciiTheme="minorHAnsi" w:eastAsia="Times New Roman" w:hAnsiTheme="minorHAnsi" w:cs="Arial"/>
          <w:lang w:eastAsia="en-GB"/>
        </w:rPr>
        <w:t>For a candidate to be employed as a teacher, a check that that the candidate is not subject to a prohibition order issued by the Secretary of State. Teaching work is defined in The Teachers' Disciplinary (England) Regulations 2012 to encompass:</w:t>
      </w:r>
      <w:r w:rsidRPr="00713F15">
        <w:rPr>
          <w:rFonts w:asciiTheme="minorHAnsi" w:eastAsia="Times New Roman" w:hAnsiTheme="minorHAnsi" w:cs="Arial"/>
          <w:lang w:eastAsia="en-GB"/>
        </w:rPr>
        <w:br/>
      </w:r>
      <w:r w:rsidRPr="00713F15">
        <w:rPr>
          <w:rFonts w:asciiTheme="minorHAnsi" w:eastAsia="Times New Roman" w:hAnsiTheme="minorHAnsi" w:cs="Arial"/>
          <w:lang w:eastAsia="en-GB"/>
        </w:rPr>
        <w:br/>
        <w:t>-  Planning and preparing lessons and courses for pupils</w:t>
      </w:r>
      <w:r w:rsidRPr="00713F15">
        <w:rPr>
          <w:rFonts w:asciiTheme="minorHAnsi" w:eastAsia="Times New Roman" w:hAnsiTheme="minorHAnsi" w:cs="Arial"/>
          <w:lang w:eastAsia="en-GB"/>
        </w:rPr>
        <w:br/>
        <w:t>-  Delivering and preparing lessons to pupils</w:t>
      </w:r>
      <w:r w:rsidRPr="00713F15">
        <w:rPr>
          <w:rFonts w:asciiTheme="minorHAnsi" w:eastAsia="Times New Roman" w:hAnsiTheme="minorHAnsi" w:cs="Arial"/>
          <w:lang w:eastAsia="en-GB"/>
        </w:rPr>
        <w:br/>
        <w:t>-  Assessing the development, progress and attainment of pupils</w:t>
      </w:r>
      <w:r w:rsidRPr="00713F15">
        <w:rPr>
          <w:rFonts w:asciiTheme="minorHAnsi" w:eastAsia="Times New Roman" w:hAnsiTheme="minorHAnsi" w:cs="Arial"/>
          <w:lang w:eastAsia="en-GB"/>
        </w:rPr>
        <w:br/>
        <w:t>-  Reporting on the development, progress and attainment of pupils; </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Verification of professional qualifications, where appropriate;</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Verification of successful completion of statutory induction period (for teaching posts - applies to those who obtained QTS after 7 May 1999);</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successful candidate has worked or been resident overseas such checks and confirmations as the School may consider appropriate so that any relevant events that occurred outside the UK can be considered; and</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Satisfactory medical fitness.</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[Confirmation from you that you are not disqualified from providing childcare under the Childcare (Disqualification) Regulations 2009.ORReceipt of a signed Staff Suitability Declaration form showing that you are not disqualified from providing childcare under the Childcare (Disqualification) Regulations 2009.</w:t>
      </w:r>
    </w:p>
    <w:p w:rsidR="00713F15" w:rsidRPr="00713F15" w:rsidRDefault="00713F15"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layout of the School.</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is aware of its duties under the Equality Act 2010.  No job offer will be withdrawn without first consulting with the applicant, considering medical evidence and considering reasonable adjustments.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6. References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ask all referees if the candidate is suitable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compare any information provided by the referee with that provided by the candidate on the Application Form.  Any inconsistencies will be discussed with the candidate.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7. Criminal Records Policy</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refer to the Department for Education ("DfE") document, 'Keeping Children Safe in Education' and any amended version in carrying out the necessary required DBS checks.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complies with the provisions of the DBS Code of Practice, a copy of which may be obtained on request or accessed here: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hyperlink r:id="rId11" w:tgtFrame="_blank" w:history="1">
        <w:r w:rsidRPr="00713F15">
          <w:rPr>
            <w:rFonts w:asciiTheme="minorHAnsi" w:eastAsia="Times New Roman" w:hAnsiTheme="minorHAnsi" w:cs="Arial"/>
            <w:color w:val="0E3B80"/>
            <w:lang w:eastAsia="en-GB"/>
          </w:rPr>
          <w:t>https://www.gov.uk/government/publications/dbs-code-of-practice</w:t>
        </w:r>
      </w:hyperlink>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There are limited circumstances where the school will accept a check from another educational institution which are as follows: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new member of staff ("M") has worked in: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A school or a maintained school in England in a position which brought M regularly into contact with children or young persons;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(b)   A maintained school in England in a position to which M was appointed on or after May 2006 and which did not bring M regularly into contact with children or young persons; or</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(c)   An institution within the further education sector in England or in a 16 to 19 Academy in a position which involved the provision of education or which brought M regularly into contact with children or young persons,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during a period which ended not more than three months before M's appointment.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In these circumstances the school may apply for a disclosure but is not required to do so. A new, separate barred list check will be obtained.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DBS Update Service</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an applicant subscribes to the DBS Update Service the applicant must give consent to the school to check there have not been changes since the issue of a disclosure certificate.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If disclosure is delayed</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short period of work is allowed under controlled conditions, at the Head's discretion. However, if an 'enhanced disclosure' is delayed, a Head may allow the member of staff to commence work: </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Without confirming the appointment;</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After a satisfactory check of the barred list if the person will be working in regulated activity and all other relevant checks (including any appropriate prohibition checks) having been completed satisfactorily;</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Provided that the DBS application has been made in advance;</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With appropriate safeguards taken (for example, loose supervision);</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Safeguards reviewed at least every two weeks;</w:t>
      </w:r>
    </w:p>
    <w:p w:rsidR="00713F15" w:rsidRPr="00713F15" w:rsidRDefault="00713F15"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person in question is informed what these safeguards are;</w:t>
      </w:r>
    </w:p>
    <w:p w:rsidR="00713F15" w:rsidRPr="00713F15" w:rsidRDefault="00713F15" w:rsidP="00246468">
      <w:pPr>
        <w:numPr>
          <w:ilvl w:val="0"/>
          <w:numId w:val="14"/>
        </w:numPr>
        <w:shd w:val="clear" w:color="auto" w:fill="FFFFFF"/>
        <w:spacing w:after="12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It is recommended, but not a requirement, that a note is added to the single central register and evidence kept of the measures put in place.</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8.   Retention and Security of Records</w:t>
      </w:r>
      <w:r w:rsidRPr="00713F15">
        <w:rPr>
          <w:rFonts w:asciiTheme="minorHAnsi" w:eastAsia="Times New Roman" w:hAnsiTheme="minorHAnsi" w:cs="Arial"/>
          <w:lang w:eastAsia="en-GB"/>
        </w:rPr>
        <w:t>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Appendix</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Policy on the Recruitment of Ex-Offenders</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if they have been appointed, and a possible referral to the police and/or DBS.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It is a criminal offence for any person who is disqualified from working with children to attempt to apply for a position within the School. The School will report the matter to the Police and/or the DBS if: </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receives an application from a disqualified person;</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is provided with false information in, or in support of an applicant's application; or</w:t>
      </w:r>
    </w:p>
    <w:p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has serious concerns about an applicant's suitability to work with children.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conviction or other matter revealed is relevant to the position in question;</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seriousness of any offence or other matter revealed;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length of time since the offence or other matter occurred;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 has a pattern of offending behaviour or other relevant matters;</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applicant's circumstances have changed since the offending behaviour or other relevant matters;</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case of disqualification from providing childcare, whether the applicant has or is able to obtain an Ofsted waiver from disqualification; and</w:t>
      </w:r>
    </w:p>
    <w:p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circumstances surrounding the offence and the explanation(s) offered by the convicted person.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access to money or budget responsibility, it is the School's normal policy to consider it a high risk to employ anyone who has been convicted at any time of robbery, burglary, theft, deception or fraud. </w:t>
      </w:r>
    </w:p>
    <w:p w:rsidR="00713F15" w:rsidRPr="00713F15" w:rsidRDefault="00713F15" w:rsidP="00571A9C">
      <w:pPr>
        <w:shd w:val="clear" w:color="auto" w:fill="FFFFFF"/>
        <w:spacing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some driving responsibilities, it is the School's normal policy to consider it a high risk to employ anyone who has been convicted of drink driving</w:t>
      </w:r>
    </w:p>
    <w:sectPr w:rsidR="00713F15" w:rsidRPr="00713F15" w:rsidSect="001B1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D1" w:rsidRDefault="006A4BD1" w:rsidP="006A4BD1">
      <w:pPr>
        <w:spacing w:after="0" w:line="240" w:lineRule="auto"/>
      </w:pPr>
      <w:r>
        <w:separator/>
      </w:r>
    </w:p>
  </w:endnote>
  <w:endnote w:type="continuationSeparator" w:id="0">
    <w:p w:rsidR="006A4BD1" w:rsidRDefault="006A4BD1" w:rsidP="006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20769984"/>
      <w:docPartObj>
        <w:docPartGallery w:val="Page Numbers (Bottom of Page)"/>
        <w:docPartUnique/>
      </w:docPartObj>
    </w:sdtPr>
    <w:sdtEndPr>
      <w:rPr>
        <w:noProof/>
      </w:rPr>
    </w:sdtEndPr>
    <w:sdtContent>
      <w:p w:rsidR="006A4BD1" w:rsidRPr="006A4BD1" w:rsidRDefault="006A4BD1">
        <w:pPr>
          <w:pStyle w:val="Footer"/>
          <w:jc w:val="right"/>
          <w:rPr>
            <w:noProof/>
            <w:sz w:val="16"/>
            <w:szCs w:val="16"/>
          </w:rPr>
        </w:pPr>
        <w:r w:rsidRPr="006A4BD1">
          <w:rPr>
            <w:sz w:val="16"/>
            <w:szCs w:val="16"/>
          </w:rPr>
          <w:fldChar w:fldCharType="begin"/>
        </w:r>
        <w:r w:rsidRPr="006A4BD1">
          <w:rPr>
            <w:sz w:val="16"/>
            <w:szCs w:val="16"/>
          </w:rPr>
          <w:instrText xml:space="preserve"> PAGE   \* MERGEFORMAT </w:instrText>
        </w:r>
        <w:r w:rsidRPr="006A4BD1">
          <w:rPr>
            <w:sz w:val="16"/>
            <w:szCs w:val="16"/>
          </w:rPr>
          <w:fldChar w:fldCharType="separate"/>
        </w:r>
        <w:r w:rsidR="00E47C3E">
          <w:rPr>
            <w:noProof/>
            <w:sz w:val="16"/>
            <w:szCs w:val="16"/>
          </w:rPr>
          <w:t>8</w:t>
        </w:r>
        <w:r w:rsidRPr="006A4BD1">
          <w:rPr>
            <w:noProof/>
            <w:sz w:val="16"/>
            <w:szCs w:val="16"/>
          </w:rPr>
          <w:fldChar w:fldCharType="end"/>
        </w:r>
      </w:p>
      <w:p w:rsidR="006A4BD1" w:rsidRPr="006A4BD1" w:rsidRDefault="006A4BD1" w:rsidP="006A4BD1">
        <w:pPr>
          <w:pStyle w:val="Footer"/>
          <w:rPr>
            <w:sz w:val="16"/>
            <w:szCs w:val="16"/>
          </w:rPr>
        </w:pPr>
        <w:r w:rsidRPr="006A4BD1">
          <w:rPr>
            <w:noProof/>
            <w:sz w:val="16"/>
            <w:szCs w:val="16"/>
          </w:rPr>
          <w:t>Teikyo School Recruitment</w:t>
        </w:r>
        <w:r w:rsidR="00E47C3E">
          <w:rPr>
            <w:noProof/>
            <w:sz w:val="16"/>
            <w:szCs w:val="16"/>
          </w:rPr>
          <w:t xml:space="preserve">, </w:t>
        </w:r>
        <w:r w:rsidRPr="006A4BD1">
          <w:rPr>
            <w:noProof/>
            <w:sz w:val="16"/>
            <w:szCs w:val="16"/>
          </w:rPr>
          <w:t>Selection</w:t>
        </w:r>
        <w:r w:rsidR="00E47C3E">
          <w:rPr>
            <w:noProof/>
            <w:sz w:val="16"/>
            <w:szCs w:val="16"/>
          </w:rPr>
          <w:t>, and Disclosures</w:t>
        </w:r>
        <w:r w:rsidRPr="006A4BD1">
          <w:rPr>
            <w:noProof/>
            <w:sz w:val="16"/>
            <w:szCs w:val="16"/>
          </w:rPr>
          <w:t xml:space="preserve"> Policy and Procedure </w:t>
        </w:r>
        <w:r w:rsidR="00AC716F">
          <w:rPr>
            <w:noProof/>
            <w:sz w:val="16"/>
            <w:szCs w:val="16"/>
          </w:rPr>
          <w:t>03-Mar</w:t>
        </w:r>
        <w:r w:rsidRPr="006A4BD1">
          <w:rPr>
            <w:noProof/>
            <w:sz w:val="16"/>
            <w:szCs w:val="16"/>
          </w:rPr>
          <w:t>-201</w:t>
        </w:r>
        <w:r w:rsidR="00E47C3E">
          <w:rPr>
            <w:noProof/>
            <w:sz w:val="16"/>
            <w:szCs w:val="16"/>
          </w:rPr>
          <w:t>6</w:t>
        </w:r>
      </w:p>
    </w:sdtContent>
  </w:sdt>
  <w:p w:rsidR="00FA221B" w:rsidRDefault="00E47C3E">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D1" w:rsidRDefault="006A4BD1" w:rsidP="006A4BD1">
      <w:pPr>
        <w:spacing w:after="0" w:line="240" w:lineRule="auto"/>
      </w:pPr>
      <w:r>
        <w:separator/>
      </w:r>
    </w:p>
  </w:footnote>
  <w:footnote w:type="continuationSeparator" w:id="0">
    <w:p w:rsidR="006A4BD1" w:rsidRDefault="006A4BD1" w:rsidP="006A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71" w:rsidRDefault="00E47C3E">
    <w:pPr>
      <w:pStyle w:val="Header"/>
      <w:jc w:val="right"/>
    </w:pPr>
  </w:p>
  <w:p w:rsidR="00AC3471" w:rsidRDefault="00E47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DC450A"/>
    <w:multiLevelType w:val="hybridMultilevel"/>
    <w:tmpl w:val="EB1E98B4"/>
    <w:lvl w:ilvl="0" w:tplc="78DE4CF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92AE2"/>
    <w:multiLevelType w:val="multilevel"/>
    <w:tmpl w:val="B6F6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47FAC"/>
    <w:multiLevelType w:val="hybridMultilevel"/>
    <w:tmpl w:val="445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2719"/>
    <w:multiLevelType w:val="hybridMultilevel"/>
    <w:tmpl w:val="9FE6BFD8"/>
    <w:lvl w:ilvl="0" w:tplc="4EE2849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67E2F"/>
    <w:multiLevelType w:val="hybridMultilevel"/>
    <w:tmpl w:val="90F8E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1A5"/>
    <w:multiLevelType w:val="hybridMultilevel"/>
    <w:tmpl w:val="735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733F4"/>
    <w:multiLevelType w:val="hybridMultilevel"/>
    <w:tmpl w:val="A326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570FE"/>
    <w:multiLevelType w:val="multilevel"/>
    <w:tmpl w:val="982689BA"/>
    <w:lvl w:ilvl="0">
      <w:start w:val="1"/>
      <w:numFmt w:val="decimal"/>
      <w:lvlText w:val="%1."/>
      <w:lvlJc w:val="left"/>
      <w:pPr>
        <w:ind w:left="720" w:hanging="360"/>
      </w:pPr>
      <w:rPr>
        <w:rFonts w:asciiTheme="minorHAnsi" w:eastAsia="Times New Roman" w:hAnsiTheme="minorHAnsi" w:cs="Microsoft Sans Serif"/>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FA74BA8"/>
    <w:multiLevelType w:val="multilevel"/>
    <w:tmpl w:val="7A52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2130E"/>
    <w:multiLevelType w:val="hybridMultilevel"/>
    <w:tmpl w:val="71682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C32D1"/>
    <w:multiLevelType w:val="multilevel"/>
    <w:tmpl w:val="8BA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528D7"/>
    <w:multiLevelType w:val="multilevel"/>
    <w:tmpl w:val="D0D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B6B6A"/>
    <w:multiLevelType w:val="multilevel"/>
    <w:tmpl w:val="1B1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D37FD"/>
    <w:multiLevelType w:val="hybridMultilevel"/>
    <w:tmpl w:val="A75E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759D0"/>
    <w:multiLevelType w:val="hybridMultilevel"/>
    <w:tmpl w:val="2102BFBA"/>
    <w:lvl w:ilvl="0" w:tplc="0A222FB2">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5"/>
  </w:num>
  <w:num w:numId="6">
    <w:abstractNumId w:val="7"/>
  </w:num>
  <w:num w:numId="7">
    <w:abstractNumId w:val="3"/>
  </w:num>
  <w:num w:numId="8">
    <w:abstractNumId w:val="1"/>
  </w:num>
  <w:num w:numId="9">
    <w:abstractNumId w:val="8"/>
  </w:num>
  <w:num w:numId="10">
    <w:abstractNumId w:val="6"/>
  </w:num>
  <w:num w:numId="11">
    <w:abstractNumId w:val="0"/>
  </w:num>
  <w:num w:numId="12">
    <w:abstractNumId w:val="9"/>
  </w:num>
  <w:num w:numId="13">
    <w:abstractNumId w:val="2"/>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D1"/>
    <w:rsid w:val="00090B25"/>
    <w:rsid w:val="001B1895"/>
    <w:rsid w:val="00246468"/>
    <w:rsid w:val="00571A9C"/>
    <w:rsid w:val="006A4BD1"/>
    <w:rsid w:val="00713F15"/>
    <w:rsid w:val="008D3948"/>
    <w:rsid w:val="00AC716F"/>
    <w:rsid w:val="00E47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EF111F7-4BDE-4B45-8541-6DFBC1F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D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D1"/>
    <w:pPr>
      <w:ind w:left="720"/>
      <w:contextualSpacing/>
    </w:pPr>
  </w:style>
  <w:style w:type="character" w:styleId="Hyperlink">
    <w:name w:val="Hyperlink"/>
    <w:uiPriority w:val="99"/>
    <w:unhideWhenUsed/>
    <w:rsid w:val="006A4BD1"/>
    <w:rPr>
      <w:color w:val="0000FF"/>
      <w:u w:val="single"/>
    </w:rPr>
  </w:style>
  <w:style w:type="paragraph" w:styleId="NoSpacing">
    <w:name w:val="No Spacing"/>
    <w:uiPriority w:val="1"/>
    <w:qFormat/>
    <w:rsid w:val="006A4BD1"/>
    <w:pPr>
      <w:spacing w:after="0" w:line="240" w:lineRule="auto"/>
    </w:pPr>
    <w:rPr>
      <w:rFonts w:ascii="Calibri" w:eastAsia="MS Mincho" w:hAnsi="Calibri" w:cs="Times New Roman"/>
      <w:lang w:eastAsia="ja-JP"/>
    </w:rPr>
  </w:style>
  <w:style w:type="paragraph" w:styleId="Header">
    <w:name w:val="header"/>
    <w:basedOn w:val="Normal"/>
    <w:link w:val="HeaderChar"/>
    <w:uiPriority w:val="99"/>
    <w:unhideWhenUsed/>
    <w:rsid w:val="006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D1"/>
    <w:rPr>
      <w:rFonts w:ascii="Calibri" w:eastAsia="MS Mincho" w:hAnsi="Calibri" w:cs="Times New Roman"/>
      <w:lang w:eastAsia="ja-JP"/>
    </w:rPr>
  </w:style>
  <w:style w:type="paragraph" w:styleId="Footer">
    <w:name w:val="footer"/>
    <w:basedOn w:val="Normal"/>
    <w:link w:val="FooterChar"/>
    <w:uiPriority w:val="99"/>
    <w:unhideWhenUsed/>
    <w:rsid w:val="006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D1"/>
    <w:rPr>
      <w:rFonts w:ascii="Calibri" w:eastAsia="MS Mincho" w:hAnsi="Calibri" w:cs="Times New Roman"/>
      <w:lang w:eastAsia="ja-JP"/>
    </w:rPr>
  </w:style>
  <w:style w:type="paragraph" w:customStyle="1" w:styleId="Default">
    <w:name w:val="Default"/>
    <w:uiPriority w:val="99"/>
    <w:rsid w:val="006A4BD1"/>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odyText">
    <w:name w:val="Body Text"/>
    <w:basedOn w:val="Normal"/>
    <w:link w:val="BodyTextChar"/>
    <w:uiPriority w:val="99"/>
    <w:unhideWhenUsed/>
    <w:rsid w:val="006A4BD1"/>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6A4BD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055754">
      <w:bodyDiv w:val="1"/>
      <w:marLeft w:val="0"/>
      <w:marRight w:val="0"/>
      <w:marTop w:val="0"/>
      <w:marBottom w:val="0"/>
      <w:divBdr>
        <w:top w:val="none" w:sz="0" w:space="0" w:color="auto"/>
        <w:left w:val="none" w:sz="0" w:space="0" w:color="auto"/>
        <w:bottom w:val="none" w:sz="0" w:space="0" w:color="auto"/>
        <w:right w:val="none" w:sz="0" w:space="0" w:color="auto"/>
      </w:divBdr>
      <w:divsChild>
        <w:div w:id="1850682260">
          <w:marLeft w:val="0"/>
          <w:marRight w:val="0"/>
          <w:marTop w:val="0"/>
          <w:marBottom w:val="0"/>
          <w:divBdr>
            <w:top w:val="none" w:sz="0" w:space="0" w:color="auto"/>
            <w:left w:val="none" w:sz="0" w:space="0" w:color="auto"/>
            <w:bottom w:val="none" w:sz="0" w:space="0" w:color="auto"/>
            <w:right w:val="none" w:sz="0" w:space="0" w:color="auto"/>
          </w:divBdr>
          <w:divsChild>
            <w:div w:id="128480070">
              <w:marLeft w:val="150"/>
              <w:marRight w:val="150"/>
              <w:marTop w:val="225"/>
              <w:marBottom w:val="225"/>
              <w:divBdr>
                <w:top w:val="none" w:sz="0" w:space="0" w:color="auto"/>
                <w:left w:val="none" w:sz="0" w:space="0" w:color="auto"/>
                <w:bottom w:val="none" w:sz="0" w:space="0" w:color="auto"/>
                <w:right w:val="none" w:sz="0" w:space="0" w:color="auto"/>
              </w:divBdr>
              <w:divsChild>
                <w:div w:id="74790999">
                  <w:marLeft w:val="0"/>
                  <w:marRight w:val="0"/>
                  <w:marTop w:val="0"/>
                  <w:marBottom w:val="0"/>
                  <w:divBdr>
                    <w:top w:val="none" w:sz="0" w:space="0" w:color="auto"/>
                    <w:left w:val="none" w:sz="0" w:space="0" w:color="auto"/>
                    <w:bottom w:val="none" w:sz="0" w:space="0" w:color="auto"/>
                    <w:right w:val="none" w:sz="0" w:space="0" w:color="auto"/>
                  </w:divBdr>
                  <w:divsChild>
                    <w:div w:id="1772705204">
                      <w:marLeft w:val="0"/>
                      <w:marRight w:val="0"/>
                      <w:marTop w:val="0"/>
                      <w:marBottom w:val="0"/>
                      <w:divBdr>
                        <w:top w:val="none" w:sz="0" w:space="0" w:color="auto"/>
                        <w:left w:val="none" w:sz="0" w:space="0" w:color="auto"/>
                        <w:bottom w:val="none" w:sz="0" w:space="0" w:color="auto"/>
                        <w:right w:val="none" w:sz="0" w:space="0" w:color="auto"/>
                      </w:divBdr>
                      <w:divsChild>
                        <w:div w:id="1470900059">
                          <w:marLeft w:val="0"/>
                          <w:marRight w:val="0"/>
                          <w:marTop w:val="0"/>
                          <w:marBottom w:val="0"/>
                          <w:divBdr>
                            <w:top w:val="none" w:sz="0" w:space="0" w:color="auto"/>
                            <w:left w:val="none" w:sz="0" w:space="0" w:color="auto"/>
                            <w:bottom w:val="none" w:sz="0" w:space="0" w:color="auto"/>
                            <w:right w:val="none" w:sz="0" w:space="0" w:color="auto"/>
                          </w:divBdr>
                          <w:divsChild>
                            <w:div w:id="1084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84712/DBS_referrals_guide_-_relevant_offences_v2.4.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2</cp:revision>
  <dcterms:created xsi:type="dcterms:W3CDTF">2016-03-03T13:20:00Z</dcterms:created>
  <dcterms:modified xsi:type="dcterms:W3CDTF">2016-03-03T14:41:00Z</dcterms:modified>
</cp:coreProperties>
</file>